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164DCE">
              <w:t>Activitatea de luptă la sistemele de artilerie</w:t>
            </w:r>
            <w:r>
              <w:t xml:space="preserve"> 2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005804" w:rsidRPr="00813CC9">
              <w:rPr>
                <w:lang w:eastAsia="en-US"/>
              </w:rPr>
              <w:t>S.0</w:t>
            </w:r>
            <w:r w:rsidR="00005804">
              <w:rPr>
                <w:lang w:eastAsia="en-US"/>
              </w:rPr>
              <w:t>4</w:t>
            </w:r>
            <w:r w:rsidR="00005804" w:rsidRPr="00813CC9">
              <w:rPr>
                <w:lang w:eastAsia="en-US"/>
              </w:rPr>
              <w:t>.O.1</w:t>
            </w:r>
            <w:r w:rsidR="00005804">
              <w:rPr>
                <w:lang w:eastAsia="en-US"/>
              </w:rPr>
              <w:t>35</w:t>
            </w:r>
          </w:p>
        </w:tc>
      </w:tr>
      <w:tr w:rsidR="002D3112" w:rsidRPr="00F0005B" w:rsidTr="00F0005B">
        <w:trPr>
          <w:trHeight w:val="1273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164DCE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7B2C6C">
              <w:t>dr.Gheorghe MEREUȚĂ conf. univ.</w:t>
            </w:r>
            <w:r w:rsidR="00164DCE">
              <w:t>Vitalie DERCACI</w:t>
            </w:r>
            <w:r w:rsidRPr="00F0005B">
              <w:t>,</w:t>
            </w:r>
            <w:r w:rsidR="00F06F23" w:rsidRPr="00F0005B">
              <w:t xml:space="preserve"> </w:t>
            </w:r>
            <w:r w:rsidR="00D9771A" w:rsidRPr="00F0005B">
              <w:t xml:space="preserve">lector universitar (nivelul </w:t>
            </w:r>
            <w:r w:rsidR="00164DCE">
              <w:t>I</w:t>
            </w:r>
            <w:r w:rsidR="00D9771A" w:rsidRPr="00F0005B">
              <w:t>I).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164DCE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112" w:rsidRPr="00F0005B" w:rsidTr="00834F5A">
        <w:trPr>
          <w:trHeight w:val="3291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005804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>Disciplina a</w:t>
            </w:r>
            <w:r w:rsidR="00164DCE">
              <w:t>ctivitatea de luptă la sistemele de artilerie</w:t>
            </w:r>
            <w:r w:rsidR="007A3209" w:rsidRPr="00F0005B">
              <w:t xml:space="preserve"> </w:t>
            </w:r>
            <w:r w:rsidR="00680897" w:rsidRPr="00F0005B">
              <w:t>este predestinat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150DF5">
        <w:trPr>
          <w:trHeight w:val="7754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B93CA5" w:rsidRPr="00F0005B" w:rsidRDefault="00BF3D5A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însuşească </w:t>
            </w:r>
            <w:r w:rsidR="00834F5A">
              <w:t>specificul activității de luptă la sistemele de artilerie</w:t>
            </w:r>
            <w:r w:rsidRPr="00F0005B">
              <w:t>;</w:t>
            </w:r>
          </w:p>
          <w:p w:rsidR="00B93CA5" w:rsidRPr="00F0005B" w:rsidRDefault="00B93CA5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să știe structura organizatorică, posibilităţile de luptă</w:t>
            </w:r>
            <w:r w:rsidR="00834F5A">
              <w:t xml:space="preserve"> ale subunităţilor de artilerie</w:t>
            </w:r>
            <w:r w:rsidRPr="00F0005B">
              <w:t>, forţelor şi mijloacelor primite în sprijin şi date ca întărire, modul şi procedeele de întrebuinţare a lor în luptă;</w:t>
            </w:r>
          </w:p>
          <w:p w:rsidR="00B93CA5" w:rsidRPr="00F0005B" w:rsidRDefault="00B93CA5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să cunoască</w:t>
            </w:r>
            <w:r w:rsidR="00834F5A">
              <w:rPr>
                <w:bCs/>
                <w:iCs/>
              </w:rPr>
              <w:t xml:space="preserve"> specific în dependență de sistemele de artilerie de organizare și executare a lucrului;</w:t>
            </w:r>
          </w:p>
          <w:p w:rsidR="00B93CA5" w:rsidRPr="00F0005B" w:rsidRDefault="00911D1E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știe planificarea, organizarea şi conducerea cu acţiunile </w:t>
            </w:r>
            <w:r w:rsidR="00834F5A">
              <w:t xml:space="preserve">plutonului (bateriei) </w:t>
            </w:r>
            <w:r w:rsidRPr="00F0005B">
              <w:t xml:space="preserve"> în lupta modernă;</w:t>
            </w:r>
          </w:p>
          <w:p w:rsidR="00911D1E" w:rsidRPr="00F0005B" w:rsidRDefault="00911D1E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însuşească </w:t>
            </w:r>
            <w:r w:rsidR="00834F5A">
              <w:t>siguranța nemijlocită și apărarea proprie a dispozitivului de luptă</w:t>
            </w:r>
            <w:r w:rsidRPr="00F0005B">
              <w:t>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</w:t>
            </w:r>
            <w:r w:rsidR="00834F5A">
              <w:t>deprinderilor practice în procesul de lucru la sistemele de artilerie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834F5A">
              <w:t>noilor procedee de lucru la sistemele de artilerie în</w:t>
            </w:r>
            <w:r w:rsidRPr="00F0005B">
              <w:t xml:space="preserve"> activităţi de studiu şi</w:t>
            </w:r>
            <w:r w:rsidRPr="00F0005B">
              <w:rPr>
                <w:spacing w:val="-23"/>
              </w:rPr>
              <w:t xml:space="preserve"> </w:t>
            </w:r>
            <w:r w:rsidRPr="00F0005B">
              <w:t>cercetare;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dezvoltarea capacităţii de planificare, organizare </w:t>
            </w:r>
            <w:r w:rsidR="00D623C4">
              <w:t>şi conducere cu acţiunile plutonului (bateriei</w:t>
            </w:r>
            <w:r w:rsidRPr="00F0005B">
              <w:t>) în lupta modernă;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</w:t>
            </w:r>
            <w:r w:rsidR="00D623C4">
              <w:t>activitatea de luptă la sisteme de artilerie modernă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D623C4">
              <w:t>activității de luptă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8815BF">
        <w:trPr>
          <w:trHeight w:val="4384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131028" w:rsidRPr="00131028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131028">
              <w:t>să interpreteze metodele de ocupare ale poziţiilor de tragere acoperite în dependenţă de situaţie;</w:t>
            </w:r>
          </w:p>
          <w:p w:rsidR="00131028" w:rsidRPr="00131028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131028">
              <w:t>să enunţe comenzile comandantului de piesă la ocuparea şi părăsirea poziţiei de tragere;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conducă cu echipa de servanţi la ocuparea poziţiei de tragere acoperite nepregătită cu cercetarea preliminară;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 xml:space="preserve">să conducă cu echipa de servanţi la ocuparea poziţiei de tragere acoperite nepregătită </w:t>
            </w:r>
            <w:r w:rsidRPr="00131028">
              <w:rPr>
                <w:b w:val="0"/>
                <w:bCs w:val="0"/>
              </w:rPr>
              <w:t>fără cercetare preliminară (din marş)</w:t>
            </w:r>
            <w:r w:rsidRPr="00131028">
              <w:rPr>
                <w:b w:val="0"/>
              </w:rPr>
              <w:t>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enunţe metodele de îndreptarea piesei de bază pe direcţia de bază;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enunţe metodele de formarea fascicolului  paralel;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îndrepte piesa (de bază) pe direcţia de bază în funcţia comandant de pisă sau ochitor;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determine derivele pe punctele de ochire în funcţia ochitor;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determine intervalele, treptele şi diferenţa de altitudine;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enunţe activităţile comandantului pluton de tragere la alegerea şi pregătirea poziţiei de tragere;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calculeze înălţătoarele minime şi adâncimea acoperirii poziţiei de tragere;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ia hotărârea privind valabilitatea ocupării poziţiei de tragere acoperită;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enunţe comenzile comandantului plutonului de tragere la ocuparea şi părăsirea poziţiei de tragere;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131028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cursului </w:t>
            </w:r>
            <w:r w:rsidR="00005804">
              <w:rPr>
                <w:highlight w:val="yellow"/>
              </w:rPr>
              <w:t>a</w:t>
            </w:r>
            <w:r w:rsidR="00131028" w:rsidRPr="00131028">
              <w:rPr>
                <w:highlight w:val="yellow"/>
              </w:rPr>
              <w:t xml:space="preserve">ctivitatea de </w:t>
            </w:r>
            <w:r w:rsidR="00005804">
              <w:rPr>
                <w:highlight w:val="yellow"/>
              </w:rPr>
              <w:t>luptă la sitemele de artilerie 2</w:t>
            </w:r>
            <w:r w:rsidR="00131028" w:rsidRPr="00131028">
              <w:rPr>
                <w:highlight w:val="yellow"/>
              </w:rPr>
              <w:t xml:space="preserve"> este necesară studierea </w:t>
            </w:r>
            <w:r w:rsidR="00005804">
              <w:rPr>
                <w:highlight w:val="yellow"/>
              </w:rPr>
              <w:t xml:space="preserve"> </w:t>
            </w:r>
            <w:r w:rsidR="00005804" w:rsidRPr="00131028">
              <w:rPr>
                <w:highlight w:val="yellow"/>
              </w:rPr>
              <w:t xml:space="preserve">Activitatea de </w:t>
            </w:r>
            <w:r w:rsidR="00005804">
              <w:rPr>
                <w:highlight w:val="yellow"/>
              </w:rPr>
              <w:t>luptă la sitemele de artilerie</w:t>
            </w:r>
            <w:r w:rsidR="00005804" w:rsidRPr="00131028">
              <w:rPr>
                <w:highlight w:val="yellow"/>
              </w:rPr>
              <w:t xml:space="preserve"> </w:t>
            </w:r>
            <w:r w:rsidR="00005804">
              <w:rPr>
                <w:highlight w:val="yellow"/>
              </w:rPr>
              <w:t>1, c</w:t>
            </w:r>
            <w:r w:rsidR="00131028" w:rsidRPr="00131028">
              <w:rPr>
                <w:highlight w:val="yellow"/>
              </w:rPr>
              <w:t>onstrucția și exploatarea sistemelor de artilerie 1 și 2</w:t>
            </w:r>
            <w:r w:rsidR="00131028">
              <w:rPr>
                <w:highlight w:val="yellow"/>
              </w:rPr>
              <w:t>,</w:t>
            </w:r>
            <w:r w:rsidR="00005804">
              <w:rPr>
                <w:highlight w:val="yellow"/>
              </w:rPr>
              <w:t xml:space="preserve"> t</w:t>
            </w:r>
            <w:r w:rsidR="00131028">
              <w:rPr>
                <w:highlight w:val="yellow"/>
              </w:rPr>
              <w:t>opogeodezia artileristică și aparate de artilerie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005804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005804">
              <w:t>Complexul de mașini 1V17-1, Organizarea cercetării și cnducerii focului în punctul de comandă și observare.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seminare,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E11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  <w:rPr>
                <w:lang w:eastAsia="ru-RU" w:bidi="ar-SA"/>
              </w:rPr>
            </w:pPr>
            <w:r>
              <w:t>Regulamentul de luptă al artileriei (divizion, baterie, pluton, piesă), Chişinău, Centrul editorial, 2005;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Regulile de tragere şi de conducere a focului de artilerie (rt şi cf – 96), Chişinău: Centrul editorial, 1996;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 xml:space="preserve">Curs de pregătire la artilerie (cpa – 96), Chişinău: Centrul editorial, 1996; 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Instrucţiuni privind activitatea de luptă a subunităţilor de foc ale artileriei, Chişinău: Secţia editare a Ministerului de Apărare, 1995;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Metodica instruirii echipelor de servanţi şi închegarea plutoanelor de tragere privind activitatea de luptă la materialul de artilerie din dotare, Chişinău 2008;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Руководство по боевой работе огневых подразделений артиллерий, Москва: Военное Издательство Министерства Oбороны СССР, 1987;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Специальная и техническая самоходно – артиллерийских подразделений вдв, Москва: Военное Издательство Министерства Oбороны СССР, 1990;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Metodica pregătirii militarilor şi subunităţilor de artilerie la instrucţia de specialitate, Bucureşti: Tipografia Militară a Ministerului Apărării Naţionale, 1990.</w:t>
            </w:r>
          </w:p>
          <w:p w:rsidR="0002138F" w:rsidRDefault="0002138F" w:rsidP="0002138F">
            <w:pPr>
              <w:rPr>
                <w:bCs/>
                <w:iCs/>
                <w:color w:val="FF0000"/>
              </w:rPr>
            </w:pP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  <w:bookmarkStart w:id="0" w:name="_GoBack"/>
            <w:bookmarkEnd w:id="0"/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2138F"/>
    <w:rsid w:val="000937C9"/>
    <w:rsid w:val="00131028"/>
    <w:rsid w:val="00150DF5"/>
    <w:rsid w:val="00164DCE"/>
    <w:rsid w:val="00240FA2"/>
    <w:rsid w:val="002D3112"/>
    <w:rsid w:val="00334B39"/>
    <w:rsid w:val="003F3516"/>
    <w:rsid w:val="00476851"/>
    <w:rsid w:val="005F01F8"/>
    <w:rsid w:val="00680897"/>
    <w:rsid w:val="006E4A29"/>
    <w:rsid w:val="00705C5C"/>
    <w:rsid w:val="00733BBD"/>
    <w:rsid w:val="007A3209"/>
    <w:rsid w:val="007B2C6C"/>
    <w:rsid w:val="00834F5A"/>
    <w:rsid w:val="008815BF"/>
    <w:rsid w:val="00911D1E"/>
    <w:rsid w:val="009D6B54"/>
    <w:rsid w:val="00A46182"/>
    <w:rsid w:val="00B93CA5"/>
    <w:rsid w:val="00BD6CF5"/>
    <w:rsid w:val="00BF3D5A"/>
    <w:rsid w:val="00C8613A"/>
    <w:rsid w:val="00C9449A"/>
    <w:rsid w:val="00CF5B5A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a8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B59A-B52B-422F-B178-5A1504C7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5</cp:revision>
  <dcterms:created xsi:type="dcterms:W3CDTF">2018-10-19T09:16:00Z</dcterms:created>
  <dcterms:modified xsi:type="dcterms:W3CDTF">2019-04-10T07:12:00Z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