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D60D09">
              <w:t>Construcția și exploatarea sistemelor de artilerie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771B42">
              <w:t>S.01.O.11</w:t>
            </w:r>
            <w:r w:rsidR="00D60D09" w:rsidRPr="00D60D09">
              <w:t>7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D60D09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553760">
              <w:t>dr. conf.univ. Igor SOFRONESCU,</w:t>
            </w:r>
            <w:r w:rsidR="00D60D09">
              <w:t>Mihai BUGA,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1B42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1B42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1B42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1B42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1B42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771B42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sisteme de armament de artilerie 1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771B42" w:rsidRPr="00AC0FB1" w:rsidRDefault="00771B42" w:rsidP="00771B42">
            <w:pPr>
              <w:widowControl/>
              <w:tabs>
                <w:tab w:val="left" w:pos="284"/>
              </w:tabs>
              <w:autoSpaceDE/>
              <w:autoSpaceDN/>
              <w:jc w:val="both"/>
            </w:pPr>
            <w:r>
              <w:rPr>
                <w:b/>
              </w:rPr>
              <w:t>-</w:t>
            </w:r>
            <w:r w:rsidR="00D60D09" w:rsidRPr="00771B42">
              <w:rPr>
                <w:b/>
              </w:rPr>
              <w:t xml:space="preserve"> </w:t>
            </w:r>
            <w:r w:rsidRPr="00AC0FB1">
              <w:t>apreci</w:t>
            </w:r>
            <w:r>
              <w:t>eze</w:t>
            </w:r>
            <w:r w:rsidRPr="00AC0FB1">
              <w:t xml:space="preserve"> importanţa </w:t>
            </w:r>
            <w:r>
              <w:t>construcţiei şi expluatării</w:t>
            </w:r>
            <w:r w:rsidRPr="00AC0FB1">
              <w:t xml:space="preserve"> materialul</w:t>
            </w:r>
            <w:r>
              <w:t>ui</w:t>
            </w:r>
            <w:r w:rsidRPr="00AC0FB1">
              <w:t xml:space="preserve"> de artilerie în lupta modernă;</w:t>
            </w:r>
          </w:p>
          <w:p w:rsidR="00771B42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conduc</w:t>
            </w:r>
            <w:r>
              <w:t>ă cu subalternii(efectivul grupei, plutonului) la executarea verificării aparatelor de ochire;</w:t>
            </w:r>
          </w:p>
          <w:p w:rsidR="00771B42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conducă cu subalternii</w:t>
            </w:r>
            <w:r w:rsidRPr="00884457">
              <w:t xml:space="preserve"> </w:t>
            </w:r>
            <w:r>
              <w:t>(efectivul grupei, plutonului) la executarea verificării legăturii elastice;</w:t>
            </w:r>
          </w:p>
          <w:p w:rsidR="00771B42" w:rsidRPr="004118DB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0F0CD5">
              <w:t>conduc</w:t>
            </w:r>
            <w:r>
              <w:t>ă</w:t>
            </w:r>
            <w:r w:rsidRPr="000F0CD5">
              <w:t xml:space="preserve"> cu subalternii (efectivul grupei, plutonului) la executarea verificării echilibroarelor;</w:t>
            </w:r>
          </w:p>
          <w:p w:rsidR="00771B42" w:rsidRPr="00AC0FB1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previn</w:t>
            </w:r>
            <w:r>
              <w:t>ă</w:t>
            </w:r>
            <w:r w:rsidRPr="00AC0FB1">
              <w:t xml:space="preserve"> </w:t>
            </w:r>
            <w:r>
              <w:t>in</w:t>
            </w:r>
            <w:r w:rsidRPr="00AC0FB1">
              <w:t>cidentele pe timpul tragerilor de luptă;</w:t>
            </w:r>
          </w:p>
          <w:p w:rsidR="00771B42" w:rsidRPr="008F5D66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4F12E1">
              <w:rPr>
                <w:lang w:val="pt-BR"/>
              </w:rPr>
              <w:t>organizeze remedierea incidentelor de tragere;</w:t>
            </w:r>
          </w:p>
          <w:p w:rsidR="00771B42" w:rsidRPr="004118DB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8F5D66">
              <w:rPr>
                <w:lang w:val="it-IT"/>
              </w:rPr>
              <w:t>previn</w:t>
            </w:r>
            <w:r>
              <w:rPr>
                <w:lang w:val="it-IT"/>
              </w:rPr>
              <w:t>ă</w:t>
            </w:r>
            <w:r w:rsidRPr="008F5D66">
              <w:rPr>
                <w:lang w:val="it-IT"/>
              </w:rPr>
              <w:t xml:space="preserve"> </w:t>
            </w:r>
            <w:r>
              <w:rPr>
                <w:lang w:val="it-IT"/>
              </w:rPr>
              <w:t>in</w:t>
            </w:r>
            <w:r w:rsidRPr="008F5D66">
              <w:rPr>
                <w:lang w:val="it-IT"/>
              </w:rPr>
              <w:t>cidentele pe timpul lucrului cu armamentul şi muniţia de artilerie</w:t>
            </w:r>
            <w:r>
              <w:rPr>
                <w:lang w:val="it-IT"/>
              </w:rPr>
              <w:t>;</w:t>
            </w:r>
          </w:p>
          <w:p w:rsidR="00771B42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utilizeze sistemele de artilerie în mod adecvat şi la nivelul de performanţă stabilit prin standarde</w:t>
            </w:r>
            <w:r>
              <w:t>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conducă cu subalternii (efectivul grupei, plutonului) la executarea verificării aparatelor de ochire;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conducă cu subalternii (efectivul grupei, plutonului) la executarea verificării legăturii elastice;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conducă cu subalternii (efectivul grupei, plutonului) la executarea verificării echilibroarelor;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organizeze şi conducă în subunitate lucrările de întreţinere tehnică;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organizeze depunerea la păstrare a materialului de artilerie;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prevină incidentele pe timpul tragerilor de luptă;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organizeze remedierea incidentelor de tragere;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prevină incidentele pe timpul lucrului cu armamentul şi muniţia de artilerie;</w:t>
            </w:r>
          </w:p>
          <w:p w:rsidR="00771B42" w:rsidRPr="00BA7ADF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propună modificări noi în construcţia materialului de artilerie;</w:t>
            </w:r>
          </w:p>
          <w:p w:rsidR="00771B42" w:rsidRDefault="00771B42" w:rsidP="00771B4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  <w:tab w:val="left" w:pos="1080"/>
              </w:tabs>
              <w:autoSpaceDE/>
              <w:autoSpaceDN/>
              <w:ind w:left="284" w:hanging="284"/>
              <w:jc w:val="both"/>
            </w:pPr>
            <w:r w:rsidRPr="00BA7ADF">
              <w:t>utilizeze sistemele de artilerie în mod adecvat şi la nivelul de performanţă stabilit prin standard</w:t>
            </w:r>
            <w:r w:rsidRPr="00AC0FB1">
              <w:t>e.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mânuiască aparatele şi mecanismele de ochire ale materialului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reglarea şi pregătirea pentru lucru a binoclului de diferit model aflat în dotare;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goniometrul busolă pentru lucru şi să execute pregătirea goniometrului busolă pentru mişcare;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goniometrul busolă cel puţin pe califictivul „5”;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goniometrului busolă;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telemetrul cuantic pentru lucru şi să execute pregătirea telemetrul cuantic pentru mişcare;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telemetrul cuantic cel puţin pe califictivul „5”;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telemetrul cuantic;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poată aprecia importanţa construcţiei şi expluatării materialului de artilerie în lupta modernă;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poată previni incidentele pe timpul tragerilor de luptă;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organiza remedierea incidentelor de tragere;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previni incidentele pe timpul lucrului cu armamentul şi muniţia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propună modificări noi în construcţia materialului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utilizeze sistemele de artilerie în mod adecvat şi la nivelul de performanţă stabilit prin standarde.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771B4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>cursului si</w:t>
            </w:r>
            <w:r w:rsidR="00771B42">
              <w:rPr>
                <w:highlight w:val="yellow"/>
              </w:rPr>
              <w:t>steme de armament de artilerie 2</w:t>
            </w:r>
            <w:r w:rsidR="000147DB">
              <w:rPr>
                <w:highlight w:val="yellow"/>
              </w:rPr>
              <w:t xml:space="preserve"> este necesar cunoașterea cursului </w:t>
            </w:r>
            <w:r w:rsidR="00771B42">
              <w:rPr>
                <w:highlight w:val="yellow"/>
              </w:rPr>
              <w:t>de sisteme de armament de artilerie 1</w:t>
            </w:r>
            <w:r w:rsidR="000147DB">
              <w:rPr>
                <w:highlight w:val="yellow"/>
              </w:rPr>
              <w:t xml:space="preserve"> și posedarea unui limbaj tehnic militar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771B42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D60D09">
              <w:t xml:space="preserve">Construcția generală a </w:t>
            </w:r>
            <w:r w:rsidR="00771B42">
              <w:t>tunului 100mm MT-12</w:t>
            </w:r>
            <w:r w:rsidR="00D60D09">
              <w:t>,</w:t>
            </w:r>
            <w:r w:rsidR="00771B42">
              <w:t xml:space="preserve"> Construcția generală a obuzierului 122mm M-30, Construcția generală a tunului obuzier 152mm D-20,</w:t>
            </w:r>
            <w:r w:rsidR="00D60D09">
              <w:t xml:space="preserve"> Munițiile pieselor de artilerie</w:t>
            </w:r>
            <w:r w:rsidR="000147DB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md. 1981. Ed. Anului 1981. 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326">
                <w:t>120 mm</w:t>
              </w:r>
            </w:smartTag>
            <w:r w:rsidRPr="003D2326">
              <w:t xml:space="preserve"> md. 1942. Ed. Anului 1975.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cunoaşterea aruncătorului cal.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3D2326">
                <w:t>82 mm</w:t>
              </w:r>
            </w:smartTag>
            <w:r w:rsidRPr="003D2326">
              <w:t xml:space="preserve"> md. 1977 şi muniţiei. 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obuzierul cal.122 mm md.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3D2326">
                <w:t>1938 m</w:t>
              </w:r>
            </w:smartTag>
            <w:r w:rsidRPr="003D2326">
              <w:t>. Ed. Anului 1981.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Manualul sergentului trupelor de artilerie şi rachete. Ed. Anului 1978. 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Bazele construcţiei pieselor şi muniţiilor artileriei terestre. Ed. Anului 1976.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Muniţiile artileriei terestre. Ed. Anului 1970.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Artileria de cîmp modernă. Ed. Anului 1992. 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326">
                <w:t>120 mm</w:t>
              </w:r>
            </w:smartTag>
            <w:r w:rsidRPr="003D2326">
              <w:t xml:space="preserve"> md. 1938. Ed. Anului 1969.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Descrierea tehnică şi instrucţiuni de exploatare pentru tunul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2a36. 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Muniţiile tunului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2a36.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d-20. Ed. Anului 1973.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obuzierul cal.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3D2326">
                <w:t>122 mm</w:t>
              </w:r>
            </w:smartTag>
            <w:r w:rsidRPr="003D2326">
              <w:t xml:space="preserve"> m-30. Ed. Anului 1981.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tunul antitanc cal.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D2326">
                <w:t>100 mm</w:t>
              </w:r>
            </w:smartTag>
            <w:r w:rsidRPr="003D2326">
              <w:t xml:space="preserve"> mt-12. Ed. Anului 1980.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Instrucţiuni de serviciu pentru maşina de luptă 9p148.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Descrierea tehnică şi instrucţiuni de exploatare pentru maşina de luptă „nona”.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Bazele teoretice ale exploatării armamentului de artilerie. Ed. Anului 1985.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Întreţinerea tehnică şi reparaţia armamentului de artilerie. Ed. Anului 1985.</w:t>
            </w:r>
          </w:p>
          <w:p w:rsidR="00771B42" w:rsidRPr="003D2326" w:rsidRDefault="00771B42" w:rsidP="00771B42">
            <w:pPr>
              <w:pStyle w:val="aa"/>
              <w:numPr>
                <w:ilvl w:val="0"/>
                <w:numId w:val="19"/>
              </w:numPr>
              <w:jc w:val="both"/>
            </w:pPr>
            <w:r w:rsidRPr="003D2326">
              <w:t>Instrucţiuni generale privind reparaţia medie a armamentului de artilerie. Ed. Anului 1973.</w:t>
            </w:r>
          </w:p>
          <w:p w:rsidR="0002138F" w:rsidRDefault="00771B42" w:rsidP="00771B42">
            <w:pPr>
              <w:rPr>
                <w:bCs/>
                <w:iCs/>
                <w:color w:val="FF0000"/>
              </w:rPr>
            </w:pPr>
            <w:r w:rsidRPr="00541AFA">
              <w:rPr>
                <w:lang w:val="fr-FR"/>
              </w:rPr>
              <w:t>Instrucţiunea  cu  privire  la  întrebuinţarea  în  luptă  a   subunităţilor de cercetare optică</w:t>
            </w: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  <w:bookmarkStart w:id="0" w:name="_GoBack"/>
      <w:bookmarkEnd w:id="0"/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553760"/>
    <w:rsid w:val="00680897"/>
    <w:rsid w:val="006E4A29"/>
    <w:rsid w:val="00705C5C"/>
    <w:rsid w:val="00733BBD"/>
    <w:rsid w:val="00771B42"/>
    <w:rsid w:val="007A3209"/>
    <w:rsid w:val="00834F5A"/>
    <w:rsid w:val="008815BF"/>
    <w:rsid w:val="00911D1E"/>
    <w:rsid w:val="009D6B54"/>
    <w:rsid w:val="00A46182"/>
    <w:rsid w:val="00A611B0"/>
    <w:rsid w:val="00B93CA5"/>
    <w:rsid w:val="00BD6CF5"/>
    <w:rsid w:val="00BF3D5A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1824-2C08-4613-BEBD-45C083B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2018-10-19T09:51:00Z</dcterms:created>
  <dcterms:modified xsi:type="dcterms:W3CDTF">2019-04-10T07:15:00Z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