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2D4913">
              <w:t>tragerea și conducerea focului de artile</w:t>
            </w:r>
            <w:r w:rsidR="00A37114">
              <w:t>rie 2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7749DC">
              <w:t>S.01.O.11</w:t>
            </w:r>
            <w:r w:rsidR="003E7DA7">
              <w:t>6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3E7DA7" w:rsidP="00D60D09">
            <w:pPr>
              <w:pStyle w:val="TableParagraph"/>
              <w:ind w:left="142" w:right="142"/>
            </w:pPr>
            <w:r>
              <w:rPr>
                <w:b/>
              </w:rPr>
              <w:t xml:space="preserve">Titular/Responsabil de curs: </w:t>
            </w:r>
            <w:r w:rsidR="00054D0A">
              <w:t xml:space="preserve">dr.Gheorghe MEREUȚĂ conf. univ, </w:t>
            </w:r>
            <w:r w:rsidRPr="003E7DA7">
              <w:t>Andrei BUNDUCHI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49DC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D4913">
              <w:rPr>
                <w:b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49DC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49DC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C6E5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7749DC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6E5A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4913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2D4913">
              <w:t>tragerea și conducerea focului de artile</w:t>
            </w:r>
            <w:r w:rsidR="00A37114">
              <w:t>rie 2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calculeze corecţiile meteorologice şi balistice de tragere;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construiască</w:t>
            </w:r>
            <w:r>
              <w:rPr>
                <w:rStyle w:val="FontStyle107"/>
                <w:sz w:val="24"/>
                <w:szCs w:val="24"/>
              </w:rPr>
              <w:t xml:space="preserve"> graficul corecţiilor calculate;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determine elementele de tragere la tragerea prin ochire directă;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corect punctul de ochire;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petreacă reglajul şi să corecteze focul </w:t>
            </w:r>
            <w:r>
              <w:rPr>
                <w:rStyle w:val="FontStyle107"/>
                <w:sz w:val="24"/>
                <w:szCs w:val="24"/>
              </w:rPr>
              <w:t>la tragerea prin ochire direct;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utilizeze  aparatele de conducere a focului;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abaterile spargerilor de la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determine elementele de tragere prin reglaj la obiectiv(OSS);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corecteze focul în cursul tragerii de efect cînd unghiul P&lt;5-00 (P&gt;5-00);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execute tragerea asupra obiectivelor situate în imediata apropiere a trupelor proprii;</w:t>
            </w:r>
          </w:p>
          <w:p w:rsidR="00A37114" w:rsidRPr="007F2A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570714">
              <w:rPr>
                <w:rStyle w:val="FontStyle107"/>
                <w:sz w:val="24"/>
                <w:szCs w:val="24"/>
              </w:rPr>
              <w:t xml:space="preserve"> aleagă încărcătura şi proiectilul pentru obţinerea efectului maxim la obiectiv.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EE37E5">
              <w:rPr>
                <w:rStyle w:val="FontStyle107"/>
                <w:sz w:val="24"/>
                <w:szCs w:val="24"/>
              </w:rPr>
              <w:t>enumere misiunile tragerii şi conducerii focului de artilerie;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definească noţiunea de miime;</w:t>
            </w:r>
          </w:p>
          <w:p w:rsidR="00A37114" w:rsidRPr="00EE37E5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enumere elementele tzraiectoriei în tragerea percutantă;</w:t>
            </w:r>
          </w:p>
          <w:p w:rsidR="00A371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E37E5">
              <w:rPr>
                <w:rStyle w:val="FontStyle107"/>
                <w:sz w:val="24"/>
                <w:szCs w:val="24"/>
              </w:rPr>
              <w:t xml:space="preserve"> distingă misiunile pregătirii meteorol</w:t>
            </w:r>
            <w:r>
              <w:rPr>
                <w:rStyle w:val="FontStyle107"/>
                <w:sz w:val="24"/>
                <w:szCs w:val="24"/>
              </w:rPr>
              <w:t>ogice şi balistice ale tragerii;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distingă condiţiile misiunilor de foc conform CPA – 96 (1a, 1b, 2a, 2b).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felurile de raglaj pe obiectiv;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esenţa tragerii di</w:t>
            </w:r>
            <w:r>
              <w:rPr>
                <w:rStyle w:val="FontStyle107"/>
                <w:sz w:val="24"/>
                <w:szCs w:val="24"/>
              </w:rPr>
              <w:t>n p</w:t>
            </w:r>
            <w:r w:rsidRPr="00570714">
              <w:rPr>
                <w:rStyle w:val="FontStyle107"/>
                <w:sz w:val="24"/>
                <w:szCs w:val="24"/>
              </w:rPr>
              <w:t>oziţia de tragere acoperită;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enumere ordinea executării reglajului pri observarea sensului spargerilor;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definească principiul reglajului prin observarea sensului spargerilor;</w:t>
            </w:r>
          </w:p>
          <w:p w:rsidR="00A37114" w:rsidRPr="0086193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 xml:space="preserve">să </w:t>
            </w:r>
            <w:r w:rsidRPr="00570714">
              <w:rPr>
                <w:rStyle w:val="FontStyle107"/>
                <w:sz w:val="24"/>
                <w:szCs w:val="24"/>
              </w:rPr>
              <w:t>distingă condiţiile misiunilor de foc conform CPA – 96 (3,4).</w:t>
            </w:r>
          </w:p>
          <w:p w:rsidR="002D3112" w:rsidRPr="00F0005B" w:rsidRDefault="002D3112" w:rsidP="002D4913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calculeze corecţiile meteorologice şi balistice de tragere;</w:t>
            </w:r>
          </w:p>
          <w:p w:rsidR="002D4913" w:rsidRPr="00EE37E5" w:rsidRDefault="002D4913" w:rsidP="002D4913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EE37E5">
              <w:rPr>
                <w:rStyle w:val="FontStyle107"/>
                <w:sz w:val="24"/>
                <w:szCs w:val="24"/>
              </w:rPr>
              <w:t>construiască graficul corecţiilor calculate.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îndeplinească misiunile de foc conform CPA (1a, 1b, 2a, 2b, 4);</w:t>
            </w:r>
          </w:p>
          <w:p w:rsidR="00A37114" w:rsidRPr="00EA507C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prin ochire directă;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sz w:val="24"/>
                <w:szCs w:val="24"/>
              </w:rPr>
              <w:t>să</w:t>
            </w:r>
            <w:r w:rsidRPr="00EA507C">
              <w:rPr>
                <w:rStyle w:val="FontStyle107"/>
                <w:sz w:val="24"/>
                <w:szCs w:val="24"/>
              </w:rPr>
              <w:t xml:space="preserve"> conducă cu focul plutonului (bateriei) la tragerea cu RATD.</w:t>
            </w:r>
          </w:p>
          <w:p w:rsidR="00A37114" w:rsidRPr="00570714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îndeplinească misiunile de foc conform CPA (4, 3);</w:t>
            </w:r>
          </w:p>
          <w:p w:rsidR="00A37114" w:rsidRPr="0076676B" w:rsidRDefault="00A37114" w:rsidP="00A37114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autoSpaceDE/>
              <w:autoSpaceDN/>
              <w:ind w:left="0" w:firstLine="851"/>
              <w:rPr>
                <w:rStyle w:val="FontStyle107"/>
                <w:sz w:val="24"/>
                <w:szCs w:val="24"/>
              </w:rPr>
            </w:pPr>
            <w:r w:rsidRPr="00570714">
              <w:rPr>
                <w:rStyle w:val="FontStyle107"/>
                <w:sz w:val="24"/>
                <w:szCs w:val="24"/>
              </w:rPr>
              <w:t>să conducă cu focul plutonului, bateriei la executarea misiunii de foc prin reglaj.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37114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2D4913">
              <w:t>tragerea și c</w:t>
            </w:r>
            <w:r w:rsidR="00A37114">
              <w:t>onducerea focului de artilerie 2</w:t>
            </w:r>
            <w:r w:rsidR="003C6E5A">
              <w:t xml:space="preserve"> este necesar de a însuși </w:t>
            </w:r>
            <w:r w:rsidR="00A37114">
              <w:t>cursul de tragerea și conducerea focului de artilerie 1</w:t>
            </w:r>
            <w:r w:rsidR="003C6E5A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37114" w:rsidRPr="002F7118">
              <w:t>Lovirea obiectivelor neobservate cu determinarea elementelor iniţiale de tragere prin procedeul de pregătire completă (sumară) ş</w:t>
            </w:r>
            <w:r w:rsidR="00A37114">
              <w:t>i transportul de foc din vedere</w:t>
            </w:r>
            <w:r w:rsidR="00CF43A7">
              <w:t>.</w:t>
            </w:r>
            <w:r w:rsidR="00A37114">
              <w:t xml:space="preserve"> </w:t>
            </w:r>
            <w:r w:rsidR="00A37114" w:rsidRPr="002F7118">
              <w:t>Lovirea obiectivelor  observate  cu  determinarea elementelor de tragere  pentru  tragerea  de efect cu executarea reglajului prin observarea sensului  spargerilor.</w:t>
            </w:r>
            <w:bookmarkStart w:id="0" w:name="_GoBack"/>
            <w:bookmarkEnd w:id="0"/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BD3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RTCFA - Regulile de tragere şi de conducere a focului de artilerie.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CPA - Curs de pregătire la artilerie (CPA-96). Centrul editorial al MA, Chişinău -1996.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A-8, RTAT - Regulile  tragerilor artileriei terestre. 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PTCFA – Pregătirea tragerii şi conducerii focului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TCFSA – Tragerea şi conducerea focului subunităţilor de artilerie. Editura  militară, Moscova - 1987.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PDŞTCF – Pregătirea şi desfăşurarea şedinţelor de tragere şi de conducere a focului cu ofiţerii şi divizionul de artilerie. Centrul editorial al MA, Chişinău - 2004.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ETAT – Exerciţii la tragerile artileriei terestre. Bucureşti - 1988.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STANAG - STANAG </w:t>
            </w:r>
            <w:smartTag w:uri="urn:schemas-microsoft-com:office:smarttags" w:element="metricconverter">
              <w:smartTagPr>
                <w:attr w:name="ProductID" w:val="2934, A"/>
              </w:smartTagPr>
              <w:r w:rsidRPr="00EE37E5">
                <w:t>2934, A</w:t>
              </w:r>
            </w:smartTag>
            <w:r w:rsidRPr="00EE37E5">
              <w:t xml:space="preserve"> ARTY P-1, ARTILLERY PROCEDURES, CHANGE 8. October 2002.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FIELD ARTILLERY MANUAL CANNON GUNNERY, FM 6-40. April 1996. 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Aparatele de calculat corecţiile. Chişinău – 2005.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Recomandări practice comandantului care execută misiunea de foc. Chişinău – 2006.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>Carnet la tragerea şi conducerea focului de artilerie. Chişinău – 2007.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tunului-obuzier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 xml:space="preserve"> D-20. Chişinău – 2008.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EE37E5">
                <w:t>152 mm</w:t>
              </w:r>
            </w:smartTag>
            <w:r w:rsidRPr="00EE37E5">
              <w:t>.  Bucureşti - 1984.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  <w:rPr>
                <w:bCs/>
                <w:iCs/>
              </w:rPr>
            </w:pPr>
            <w:r w:rsidRPr="00EE37E5">
              <w:t xml:space="preserve">Tablele de tragere ale obuzierului de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EE37E5">
                <w:t>122 mm</w:t>
              </w:r>
            </w:smartTag>
            <w:r w:rsidRPr="00EE37E5">
              <w:t>.  Bucureşti - 1989.</w:t>
            </w:r>
          </w:p>
          <w:p w:rsidR="00CF43A7" w:rsidRPr="00EE37E5" w:rsidRDefault="00CF43A7" w:rsidP="00CF43A7">
            <w:pPr>
              <w:widowControl/>
              <w:numPr>
                <w:ilvl w:val="0"/>
                <w:numId w:val="25"/>
              </w:numPr>
              <w:tabs>
                <w:tab w:val="clear" w:pos="2340"/>
                <w:tab w:val="num" w:pos="540"/>
              </w:tabs>
              <w:autoSpaceDE/>
              <w:autoSpaceDN/>
              <w:ind w:left="540"/>
              <w:jc w:val="both"/>
            </w:pPr>
            <w:r w:rsidRPr="00EE37E5">
              <w:t xml:space="preserve">Tablele de tragere ale aruncătorului de 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EE37E5">
                <w:t>82 mm</w:t>
              </w:r>
            </w:smartTag>
            <w:r w:rsidRPr="00EE37E5">
              <w:t>.  Bucureşti - 1986.</w:t>
            </w:r>
          </w:p>
          <w:p w:rsidR="00A204CA" w:rsidRPr="00547534" w:rsidRDefault="00A204CA" w:rsidP="003C6E5A">
            <w:pPr>
              <w:widowControl/>
              <w:autoSpaceDE/>
              <w:autoSpaceDN/>
              <w:ind w:left="420"/>
              <w:jc w:val="both"/>
            </w:pPr>
          </w:p>
          <w:p w:rsidR="002D3112" w:rsidRDefault="002D3112" w:rsidP="00BD3290">
            <w:pPr>
              <w:widowControl/>
              <w:autoSpaceDE/>
              <w:autoSpaceDN/>
              <w:ind w:left="420"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2213A"/>
    <w:multiLevelType w:val="hybridMultilevel"/>
    <w:tmpl w:val="8B5E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C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0CCA443A"/>
    <w:multiLevelType w:val="hybridMultilevel"/>
    <w:tmpl w:val="413E7430"/>
    <w:lvl w:ilvl="0" w:tplc="DBA04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9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4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5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6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23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8"/>
  </w:num>
  <w:num w:numId="14">
    <w:abstractNumId w:val="21"/>
  </w:num>
  <w:num w:numId="15">
    <w:abstractNumId w:val="22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11"/>
  </w:num>
  <w:num w:numId="22">
    <w:abstractNumId w:val="1"/>
  </w:num>
  <w:num w:numId="23">
    <w:abstractNumId w:val="16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54D0A"/>
    <w:rsid w:val="000606DC"/>
    <w:rsid w:val="000937C9"/>
    <w:rsid w:val="00131028"/>
    <w:rsid w:val="00150DF5"/>
    <w:rsid w:val="00164DCE"/>
    <w:rsid w:val="00240FA2"/>
    <w:rsid w:val="002D3112"/>
    <w:rsid w:val="002D4913"/>
    <w:rsid w:val="00334B39"/>
    <w:rsid w:val="003C6E5A"/>
    <w:rsid w:val="003E7DA7"/>
    <w:rsid w:val="003F3516"/>
    <w:rsid w:val="00427668"/>
    <w:rsid w:val="00476851"/>
    <w:rsid w:val="00680897"/>
    <w:rsid w:val="006E4A29"/>
    <w:rsid w:val="00705C5C"/>
    <w:rsid w:val="00733BBD"/>
    <w:rsid w:val="00771B42"/>
    <w:rsid w:val="007749DC"/>
    <w:rsid w:val="007A3209"/>
    <w:rsid w:val="00834F5A"/>
    <w:rsid w:val="008815BF"/>
    <w:rsid w:val="00911D1E"/>
    <w:rsid w:val="009D6B54"/>
    <w:rsid w:val="00A204CA"/>
    <w:rsid w:val="00A37114"/>
    <w:rsid w:val="00A46182"/>
    <w:rsid w:val="00B93CA5"/>
    <w:rsid w:val="00BD3290"/>
    <w:rsid w:val="00BD6CF5"/>
    <w:rsid w:val="00BF3D5A"/>
    <w:rsid w:val="00C8613A"/>
    <w:rsid w:val="00C9449A"/>
    <w:rsid w:val="00CF43A7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10246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  <w:style w:type="paragraph" w:customStyle="1" w:styleId="ab">
    <w:basedOn w:val="a"/>
    <w:next w:val="a7"/>
    <w:qFormat/>
    <w:rsid w:val="003C6E5A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FontStyle107">
    <w:name w:val="Font Style107"/>
    <w:rsid w:val="002D4913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2D49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3E68-9596-4A89-A739-0C6D35C7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2018-10-19T12:23:00Z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